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Рациональное использование пастбищных угодий является актуальной проблемой агропромышленного комплекса Казахстана. Сложность процесса создания, поддержания, регулирования и восстановления естественных и культурных пастбищ заключается в многообразии взаимов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лияющих факторов, среди которых следует отметить наиболее существенные: агрометеорологические условия, агрохимический состав почвы, видовое разнообразие травостоя, режим выпаса и вид животных, количество циклов и готовность к стравливанию и т.п. 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Учитывая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обширность территорий, резко континентальный климат, разные климатические и ландшафтные зоны, высокие колебания температуры, осадков, скорости и направления ветра, как в течение года, так и в течение суток, то управление пастбищным хозяйством становится сл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ожной стратегической задачей, решение которой необходимо осуществлять на государственном уровне с привлечением наилучших доступных и перспективных цифровых технологий в науке.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Как отмечено в работах [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1, 2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], лучшие показатели при использовании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технологии зеленого конвейера, разработки культурных пастбищ, комбинированного стравливания крупнорогатым и мелко рогатым скотом, что по разным оценкам может повысить продуктивность пастбищ до 30-40%. 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Для оценки уровня технического развития в сфере ав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томатизированного управления стравливанием пастбища проведен патентный поиск и анализ охранных документов, наиболее близкие по направлению приведены в таблице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Таблица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Патентный анализ</w:t>
      </w:r>
    </w:p>
    <w:tbl>
      <w:tblPr>
        <w:tblStyle w:val="ac"/>
        <w:tblW w:w="9571" w:type="dxa"/>
        <w:tblLook w:val="04A0" w:firstRow="1" w:lastRow="0" w:firstColumn="1" w:lastColumn="0" w:noHBand="0" w:noVBand="1"/>
      </w:tblPr>
      <w:tblGrid>
        <w:gridCol w:w="514"/>
        <w:gridCol w:w="3313"/>
        <w:gridCol w:w="5744"/>
      </w:tblGrid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 и название патента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Технический результат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цель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2490875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Способ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иустройство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автоматизациии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информатизацииэкономичной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пастьбы животных на пастбищах с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электрическимиизгородями</w:t>
            </w:r>
            <w:proofErr w:type="spellEnd"/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Экономичная пастьба </w:t>
            </w:r>
            <w:proofErr w:type="spellStart"/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животных,автоматизированный</w:t>
            </w:r>
            <w:proofErr w:type="spellEnd"/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поиск положения экономического баланса между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суммойстоимостей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затрат на пастьбу жи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вотных и расчетной ценой реализованной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продукцииживотноводства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, достижение экономически оптимального, биологически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иэнергетически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рационального режима пастьбы и кормления животных на пастбище. А также определение экономически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наилучшегомаршрута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движения ст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ада животных к экономически целесообразному на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данныймомент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времени огороженному электрической изгородью участку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культурногопастбища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, получение наивысшего расчетного значения прибыли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технологическогопроцесса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пастьбы животных.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2515392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Устройство для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пастьбы животных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Повышение эффективности работы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устройства,снижение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его материалоемкости и затрат труда на обслуживание, снизить расход материалов за счет устранения неподвижной части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электроизгороди,повысить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эффективность использования устройства, так как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исключается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процесспередачи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импульса от подвижного к неподвижным проводам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, 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снизитьзатраты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труда.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2711806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ограждения загона для содержания сельскохозяйственных животных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Создание конструкции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надувногоблока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), когда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ограждение загона можно организовать с использованием минимального количества блоков.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2704851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Блок ограждения загона для содержания сельскохозяйственных животных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Создание конструкции надувного блока(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)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с возможностью его использования как эле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мента ограждения загона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нетолько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травмобезопасного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для животных, но и существенно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уменьшающеговозможность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повреждения поверхности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животными.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2714735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Быстроразвертываемая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мобильная линейная часть электризуемого заграждения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Сокращение трудо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емкости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поустановке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 снятию, сокращение габаритов линейной части электризуемого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заграждения,возможность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установки на непротяженные участки местности, обеспечение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натяжениялинейной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части при перепадах температуры воздуха.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2645343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Охотничий вольер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способ содержания диких животных с естественными кормами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Организация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рациональногоиспользования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лесных угодий, пастбищ, расширение функционального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назначения,повышение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удобства и упрощение эксплуатации охотничьих вольеров за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счетупрощенного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группового, вид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ового перемещения диких животных из одной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зонывольера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в другую, методом коллективного загона животных через суженную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оконечнуючасть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зоны, граничащую с другой зоной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 187419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Пастбищная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электроизгородь</w:t>
            </w:r>
            <w:proofErr w:type="spellEnd"/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Повышениеэффективности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использования устройства, что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сказывается на снижении затрат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насодержание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животных в пастбищный период в загонах с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электроизгородью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 расширение технического потенциала.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2675511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Система, способ и устройство для кормления для удаленного наблюдения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задомашним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животными кормления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существление удаленного наблюдения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задомашним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животным и его кормление на базе системы, содержащей устройство для кормления и облачную базу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данных,которые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связываются с терминальным устройством владельца домашнего животного.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2730866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Способ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устройство порционной пастьбы животных</w:t>
            </w:r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Рациональное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эксплуатированиепастбищ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, снижение материалоемкости, уменьшение затрат ручного труда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наобслуживание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животных.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2614813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Способ механизированного пастбищного содержания крупного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рогатогоскота</w:t>
            </w:r>
            <w:proofErr w:type="spellEnd"/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Создание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способа комплексного свойства, одновременно соответствующего по своему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назначениюусловиям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энергоматериалосберегающего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экологически чистого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высокопродуктивногопастбищного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содержания от начальной стадии при организации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пастбищногосодержания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до отправки молок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а в резервуаре для подогрева или охлаждения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длятранспортировки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в культурную зону.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2379883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Способ ограничения выхода крупного рогатого скота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илошадей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запределы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отведенного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имучастка</w:t>
            </w:r>
            <w:proofErr w:type="spellEnd"/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Контроль за крупным рогатым скотом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илошадей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для ограничения выхода з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а территорию участка с помощью звука жужжания овода, синтезированный с высокой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точностьюзвукогенераторами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, установленными по периметру участка.</w:t>
            </w:r>
          </w:p>
        </w:tc>
      </w:tr>
      <w:tr w:rsidR="00E54F5E">
        <w:tc>
          <w:tcPr>
            <w:tcW w:w="533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692" w:type="dxa"/>
            <w:shd w:val="clear" w:color="auto" w:fill="auto"/>
          </w:tcPr>
          <w:p w:rsidR="00E54F5E" w:rsidRDefault="00362EFF">
            <w:pPr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2440720</w:t>
            </w:r>
          </w:p>
          <w:p w:rsidR="00E54F5E" w:rsidRDefault="00362EF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Стойка для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искусственнойизгороди</w:t>
            </w:r>
            <w:proofErr w:type="spellEnd"/>
          </w:p>
        </w:tc>
        <w:tc>
          <w:tcPr>
            <w:tcW w:w="634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Повышение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надежностиподъема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стойки в вертикальное положение</w:t>
            </w:r>
          </w:p>
        </w:tc>
      </w:tr>
    </w:tbl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На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основе анализа патентов можно сделать вывод, что управление стравливанием пастбища развивается в следующих направлениях:</w:t>
      </w:r>
    </w:p>
    <w:p w:rsidR="00E54F5E" w:rsidRDefault="00362EFF">
      <w:pPr>
        <w:pStyle w:val="a9"/>
        <w:widowControl w:val="0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Применение технических средств для ограждения территории пастбища различными типами: электрическая изгородь, пневматические блоки и зв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уковые мачты. Чаще всего применяется электрическая изгородь, находящаяся под напряжением. При касании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проводаживотное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бьет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токомвысокой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частоты, значение которого не опасно для его жизни и здоровья, но вызывает неприятные ощущения и заставляет отстраниться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от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электроизгороди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Со временем у животных вырабатывается условный рефлекс, в результате чего животные не подходят близко к яркоокрашенным проводам.</w:t>
      </w:r>
    </w:p>
    <w:p w:rsidR="00E54F5E" w:rsidRDefault="00362EFF">
      <w:pPr>
        <w:pStyle w:val="a9"/>
        <w:widowControl w:val="0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Разработка схем и методов стравливания пастбища, реализация непрерывных зеленых конвейеров, осуществление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перехода животных. Наиболее распространенная схема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это секционирование и поэтапное стравливание.</w:t>
      </w:r>
    </w:p>
    <w:p w:rsidR="00E54F5E" w:rsidRDefault="00362EFF">
      <w:pPr>
        <w:pStyle w:val="a9"/>
        <w:widowControl w:val="0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Совершенствование элементов и устройств электрической изгороди с целью повышения энергетической эффективности, снижения материалоемкости, пов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ышения прочности материалов и изделий.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В этой связи разработана технология цифрового управления ресурсами пастбища с применением технологии дистанционного зондирования земли и автоматического стравливания загонов пастбища.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этих целей определен участок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естественного пастбища, приведенный на рисунке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, с последующим его преобразованием в культурное пастбище путем засева многолетних трав.</w:t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>
            <wp:extent cx="4481195" cy="2473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Естественное пастбище</w:t>
      </w:r>
    </w:p>
    <w:p w:rsidR="00E54F5E" w:rsidRDefault="00E54F5E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Общая площадь естественного пастбища составляет приблизительно 70 гектаров,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рядом с которым расположены два естественных водоема, подпитываемых от скважин. Используя мировой опыт [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3-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6] по оптимизации ресурсов естественных и культурных угодий для выпаса животных, имеющееся пастбище разделено на 7 секторов (загонов) с индивидуальным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доступом для ежесуточного водопоя КРС.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На основании данных, полученных с помощью дистанционного зондирования земли, создана </w:t>
      </w:r>
      <w:bookmarkStart w:id="0" w:name="_GoBack"/>
      <w:bookmarkEnd w:id="0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первичная цифровая схема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как показано на рисунке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42330" cy="2099310"/>
            <wp:effectExtent l="0" t="0" r="0" b="0"/>
            <wp:docPr id="2" name="Рисунок 2" descr="ромашка1 —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ромашка1 — копия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10641" b="29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Сектора естественного пастбища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Каждый секто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 огорожен электрической изгородью для предотвращения свободного передвижения скота, посторонних животных и имеет собственный вход/выход к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водопою[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7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]. Указанные сектора представляют собой отдельный загон, каждый из которых имеет площадь приблизительно по 9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га с различным составом растительности и высотой травостоя.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Координаты загонов, приведенные в таблице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заложены в цифровой схеме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пастибищеоборота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а также в таблице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приведены данные по периметру и площади загонов.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Таблица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Координаты загонов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пастбища</w:t>
      </w:r>
    </w:p>
    <w:tbl>
      <w:tblPr>
        <w:tblStyle w:val="ac"/>
        <w:tblW w:w="9572" w:type="dxa"/>
        <w:tblLook w:val="04A0" w:firstRow="1" w:lastRow="0" w:firstColumn="1" w:lastColumn="0" w:noHBand="0" w:noVBand="1"/>
      </w:tblPr>
      <w:tblGrid>
        <w:gridCol w:w="790"/>
        <w:gridCol w:w="1516"/>
        <w:gridCol w:w="1516"/>
        <w:gridCol w:w="1516"/>
        <w:gridCol w:w="1516"/>
        <w:gridCol w:w="1516"/>
        <w:gridCol w:w="1516"/>
      </w:tblGrid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Загон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1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2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3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4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5</w:t>
            </w:r>
          </w:p>
        </w:tc>
        <w:tc>
          <w:tcPr>
            <w:tcW w:w="1471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6</w:t>
            </w: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54°12'42.55"С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69°30'36.48"В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69°30'38.12"В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54°12'56.38"С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69°30'35.61"В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54°12'56.44"С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69°30'55.45"В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54°12'53.31"С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69°30'56.05"В</w:t>
            </w: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69°30'38.12"В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54°12'53.31"С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69°30'56.05"В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69°30'40.00"В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54°12'53.15"С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69°31'6.42"В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54°12'56.37"С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69°31'6.91"В</w:t>
            </w:r>
          </w:p>
        </w:tc>
        <w:tc>
          <w:tcPr>
            <w:tcW w:w="1471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54°12'56.22"С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69°31'21.70"В</w:t>
            </w: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69°30'40.00"В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69°30'41.61"В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54°12'56.22"С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69°31'21.70"В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54°12'56.78"С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69°31'46.14"В</w:t>
            </w:r>
          </w:p>
        </w:tc>
        <w:tc>
          <w:tcPr>
            <w:tcW w:w="1466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54°12'56.78"С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69°31'46.14"В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54°12'56.86"С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69°31'55.40"В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54°12'54.03"С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69°31'55.45"В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69°30'41.61"В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69°30'43.20"В</w:t>
            </w: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54°12'42.48"С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69°30'44.62"В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69°30'43.20"В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54°12'49.63"С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69°31'55.52"В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54°12'54.03"С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69°31'55.45"В</w:t>
            </w:r>
          </w:p>
        </w:tc>
        <w:tc>
          <w:tcPr>
            <w:tcW w:w="1466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54°12'42.48"С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69°30'44.62"В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54°12'42.28"С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69°30'45.84"В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54°12'45.11"С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69°31'56.03"В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54°12'49.63"С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69°31'55.52"В</w:t>
            </w:r>
          </w:p>
        </w:tc>
        <w:tc>
          <w:tcPr>
            <w:tcW w:w="1466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E54F5E">
        <w:tc>
          <w:tcPr>
            <w:tcW w:w="768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54°12'41.79"С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69°30'46.23"В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54°12'42.28"С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69°30'45.84"В</w:t>
            </w:r>
          </w:p>
        </w:tc>
        <w:tc>
          <w:tcPr>
            <w:tcW w:w="1466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54°12'40.98"С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69°31'56.27"В</w:t>
            </w:r>
          </w:p>
        </w:tc>
        <w:tc>
          <w:tcPr>
            <w:tcW w:w="146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54°12'45.11"С</w:t>
            </w:r>
          </w:p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bookmarkStart w:id="1" w:name="__DdeLink__1172_582497415"/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69°31'56.03"В</w:t>
            </w:r>
            <w:bookmarkEnd w:id="1"/>
          </w:p>
        </w:tc>
        <w:tc>
          <w:tcPr>
            <w:tcW w:w="1466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1" w:type="dxa"/>
            <w:shd w:val="clear" w:color="auto" w:fill="auto"/>
          </w:tcPr>
          <w:p w:rsidR="00E54F5E" w:rsidRDefault="00E54F5E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</w:tbl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Таблица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Периметр и площадь загонов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959"/>
        <w:gridCol w:w="3202"/>
        <w:gridCol w:w="2705"/>
        <w:gridCol w:w="2705"/>
      </w:tblGrid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Загон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Периметр, м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Площадь,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кв.м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Площадь, га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1 420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99 410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9,9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2 030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92 606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9,3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2 577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95 733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9,6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2 884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95 150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9,5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2 845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97 008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9,7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2 728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96 844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9,7</w:t>
            </w:r>
          </w:p>
        </w:tc>
      </w:tr>
      <w:tr w:rsidR="00E54F5E">
        <w:tc>
          <w:tcPr>
            <w:tcW w:w="937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3129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2 712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94 613</w:t>
            </w:r>
          </w:p>
        </w:tc>
        <w:tc>
          <w:tcPr>
            <w:tcW w:w="2644" w:type="dxa"/>
            <w:shd w:val="clear" w:color="auto" w:fill="auto"/>
          </w:tcPr>
          <w:p w:rsidR="00E54F5E" w:rsidRDefault="00362EFF">
            <w:pPr>
              <w:widowControl w:val="0"/>
              <w:spacing w:after="0"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9,5</w:t>
            </w:r>
          </w:p>
        </w:tc>
      </w:tr>
    </w:tbl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Одной из задач по рациональному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использованию ресурсов пастбища является поэтапное стравливание загонов, состояние которых должно определяться интеллектуальной системой. На 2021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го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запланировано выполнение первого этапа разработки автоматизированной системы для перехода скота из одного з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агона в другой,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заключающейся в разработке конструкции автоматических ворот и изготовления комплектующих для них.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На рисунке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представлена эскизная схема автоматических ворот.</w:t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>
            <wp:extent cx="4721225" cy="2663825"/>
            <wp:effectExtent l="0" t="0" r="0" b="0"/>
            <wp:docPr id="3" name="Рисунок 4" descr="Предварительный проект воро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Предварительный проект ворот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1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Эскизная схема автоматических ворот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Автоматические ворота вып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олнены в виде вертикально заглубляемых металлических столбов, между которыми натянуты токопроводящие тросы. По сигналу от интеллектуальной системы для освобождения прохода осуществляется ослабление токопроводящих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тросов  до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полного их опускания на землю, в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результате чего КРС имеет возможность перехода. Для предотвращения попадания животных под напряжение при переходе будет подать сигнал на отключение питания.</w:t>
      </w: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управления загонами и автоматическими воротами создан алгоритм, приведенный на рисунке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Х.4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., к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оторый поясняет принцип работы автоматизированного управления ресурсом пастбища.</w:t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245610" cy="8705215"/>
            <wp:effectExtent l="0" t="0" r="0" b="0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10" cy="8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Х.4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Алгоритм управления загонами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Принципиальная схема электропитания электрической изгороди и автоматических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 xml:space="preserve">ворот приведен на рисунке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Х.5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>
            <wp:extent cx="2590800" cy="697865"/>
            <wp:effectExtent l="0" t="0" r="0" b="0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E" w:rsidRDefault="00362EFF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Х.5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Схема питания: ФМ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фотомодуль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КЗР – контроллер заряда-разряда, АБ – аккумуляторная батарея, АИ – автономный инвертор, ЭП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электропастух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ЭИ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электроизгородь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, АВ – автоматические ворота.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54F5E" w:rsidRDefault="00362EFF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Список использованной литературы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E54F5E" w:rsidRDefault="00362EFF">
      <w:pPr>
        <w:pStyle w:val="a9"/>
        <w:widowControl w:val="0"/>
        <w:spacing w:after="0" w:line="240" w:lineRule="auto"/>
        <w:ind w:left="0"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Шелюто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Б.В.,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Шелюто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А.А. Пастбищное хозяйство. Учебное пособие. - М.: Инфра-М, 2017. - 184 с. </w:t>
      </w:r>
    </w:p>
    <w:p w:rsidR="00E54F5E" w:rsidRDefault="00362EFF">
      <w:pPr>
        <w:pStyle w:val="a9"/>
        <w:widowControl w:val="0"/>
        <w:spacing w:after="0" w:line="240" w:lineRule="auto"/>
        <w:ind w:left="0"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2. С.С.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Байшоланов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М.А.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Абдрахметов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Г.М.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Аблайсанова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Оценка уязвимости пастбищ Южного Казахстана к изменению климата // Методический кабинет Гидрометцентра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России. Режим доступа: http://method.meteorf.ru/publ/tr/tr375/htm/12.htm.</w:t>
      </w:r>
    </w:p>
    <w:p w:rsidR="00E54F5E" w:rsidRDefault="00362EFF">
      <w:pPr>
        <w:pStyle w:val="ab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r>
        <w:rPr>
          <w:rFonts w:ascii="Times New Roman" w:hAnsi="Times New Roman"/>
          <w:sz w:val="24"/>
          <w:szCs w:val="24"/>
          <w:lang w:val="en-US" w:eastAsia="ar-SA"/>
        </w:rPr>
        <w:t xml:space="preserve">3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Brinkmann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K.,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Dickhoefer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</w:t>
      </w:r>
      <w:proofErr w:type="gramStart"/>
      <w:r>
        <w:rPr>
          <w:rFonts w:ascii="Times New Roman" w:hAnsi="Times New Roman"/>
          <w:sz w:val="24"/>
          <w:szCs w:val="24"/>
          <w:lang w:val="en-US" w:eastAsia="ar-SA"/>
        </w:rPr>
        <w:t>U.,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Schlecht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 w:eastAsia="ar-SA"/>
        </w:rPr>
        <w:t xml:space="preserve">, E.,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Buerkert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A. Quantification of aboveground rangeland productivity and anthropogenic degradation on the Arabian Peninsula using Landsat </w:t>
      </w:r>
      <w:r>
        <w:rPr>
          <w:rFonts w:ascii="Times New Roman" w:hAnsi="Times New Roman"/>
          <w:sz w:val="24"/>
          <w:szCs w:val="24"/>
          <w:lang w:val="en-US" w:eastAsia="ar-SA"/>
        </w:rPr>
        <w:t xml:space="preserve">imagery and field inventory data // Remote Sensing of Environment. Vol. 115, Issue 2, 2011, </w:t>
      </w:r>
      <w:proofErr w:type="spellStart"/>
      <w:r>
        <w:rPr>
          <w:rFonts w:ascii="Times New Roman" w:hAnsi="Times New Roman"/>
          <w:sz w:val="24"/>
          <w:szCs w:val="24"/>
          <w:lang w:eastAsia="ar-SA"/>
        </w:rPr>
        <w:t>рр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>.465-474.</w:t>
      </w:r>
    </w:p>
    <w:p w:rsidR="00E54F5E" w:rsidRDefault="00362EFF">
      <w:pPr>
        <w:pStyle w:val="ab"/>
        <w:ind w:firstLine="708"/>
        <w:jc w:val="both"/>
        <w:rPr>
          <w:rFonts w:ascii="Times New Roman" w:hAnsi="Times New Roman"/>
          <w:sz w:val="24"/>
          <w:szCs w:val="24"/>
          <w:lang w:val="en-US" w:eastAsia="ar-SA"/>
        </w:rPr>
      </w:pPr>
      <w:r>
        <w:rPr>
          <w:rFonts w:ascii="Times New Roman" w:hAnsi="Times New Roman"/>
          <w:sz w:val="24"/>
          <w:szCs w:val="24"/>
          <w:lang w:val="en-US" w:eastAsia="ar-SA"/>
        </w:rPr>
        <w:t xml:space="preserve">4 Gao, J. Quantification of grassland properties: how it can benefit from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geoinformatic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 technologies? // International Journal of Remote Sensing, Vol. 2</w:t>
      </w:r>
      <w:r>
        <w:rPr>
          <w:rFonts w:ascii="Times New Roman" w:hAnsi="Times New Roman"/>
          <w:sz w:val="24"/>
          <w:szCs w:val="24"/>
          <w:lang w:val="en-US" w:eastAsia="ar-SA"/>
        </w:rPr>
        <w:t xml:space="preserve">7, 2006, </w:t>
      </w:r>
      <w:proofErr w:type="spellStart"/>
      <w:r>
        <w:rPr>
          <w:rFonts w:ascii="Times New Roman" w:hAnsi="Times New Roman"/>
          <w:sz w:val="24"/>
          <w:szCs w:val="24"/>
          <w:lang w:eastAsia="ar-SA"/>
        </w:rPr>
        <w:t>рр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>. 1351–1365. http://dx.doi.org/10.1080/01431160500474357.</w:t>
      </w:r>
    </w:p>
    <w:p w:rsidR="00E54F5E" w:rsidRDefault="00362EFF">
      <w:pPr>
        <w:pStyle w:val="ab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r>
        <w:rPr>
          <w:rFonts w:ascii="Times New Roman" w:hAnsi="Times New Roman"/>
          <w:sz w:val="24"/>
          <w:szCs w:val="24"/>
          <w:lang w:val="en-US" w:eastAsia="ar-SA"/>
        </w:rPr>
        <w:t xml:space="preserve">5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Yiran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G.A.B.,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Kusimi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J.M.,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Kufogbe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>, S.K., 2012. A synthesis of remote sensing and local knowledge approaches in land degradation assessment in the Bawku East District, Ghana. // Inter</w:t>
      </w:r>
      <w:r>
        <w:rPr>
          <w:rFonts w:ascii="Times New Roman" w:hAnsi="Times New Roman"/>
          <w:sz w:val="24"/>
          <w:szCs w:val="24"/>
          <w:lang w:val="en-US" w:eastAsia="ar-SA"/>
        </w:rPr>
        <w:t xml:space="preserve">national Journal of Applied Earth Observation and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Geoinformation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 xml:space="preserve">, Vol. 14(1), pp. 204–213. </w:t>
      </w:r>
      <w:proofErr w:type="gramStart"/>
      <w:r>
        <w:rPr>
          <w:rFonts w:ascii="Times New Roman" w:hAnsi="Times New Roman"/>
          <w:sz w:val="24"/>
          <w:szCs w:val="24"/>
          <w:lang w:val="en-US" w:eastAsia="ar-SA"/>
        </w:rPr>
        <w:t>doi:10.1016/j.jag</w:t>
      </w:r>
      <w:proofErr w:type="gramEnd"/>
      <w:r>
        <w:rPr>
          <w:rFonts w:ascii="Times New Roman" w:hAnsi="Times New Roman"/>
          <w:sz w:val="24"/>
          <w:szCs w:val="24"/>
          <w:lang w:val="en-US" w:eastAsia="ar-SA"/>
        </w:rPr>
        <w:t>.2011.09.016.</w:t>
      </w:r>
    </w:p>
    <w:p w:rsidR="00E54F5E" w:rsidRDefault="00362EFF">
      <w:pPr>
        <w:pStyle w:val="ab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r>
        <w:rPr>
          <w:rFonts w:ascii="Times New Roman" w:hAnsi="Times New Roman"/>
          <w:sz w:val="24"/>
          <w:szCs w:val="24"/>
          <w:lang w:val="en-US" w:eastAsia="ar-SA"/>
        </w:rPr>
        <w:t xml:space="preserve">6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Masocha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>, M., and A.K. Skidmore. 2011. Integrating conventional classifiers with a GIS expert system to increase the accuracy of inva</w:t>
      </w:r>
      <w:r>
        <w:rPr>
          <w:rFonts w:ascii="Times New Roman" w:hAnsi="Times New Roman"/>
          <w:sz w:val="24"/>
          <w:szCs w:val="24"/>
          <w:lang w:val="en-US" w:eastAsia="ar-SA"/>
        </w:rPr>
        <w:t xml:space="preserve">sive species mapping //International Journal of Applied Earth Observation and </w:t>
      </w:r>
      <w:proofErr w:type="spellStart"/>
      <w:r>
        <w:rPr>
          <w:rFonts w:ascii="Times New Roman" w:hAnsi="Times New Roman"/>
          <w:sz w:val="24"/>
          <w:szCs w:val="24"/>
          <w:lang w:val="en-US" w:eastAsia="ar-SA"/>
        </w:rPr>
        <w:t>Geoinformation</w:t>
      </w:r>
      <w:proofErr w:type="spellEnd"/>
      <w:r>
        <w:rPr>
          <w:rFonts w:ascii="Times New Roman" w:hAnsi="Times New Roman"/>
          <w:sz w:val="24"/>
          <w:szCs w:val="24"/>
          <w:lang w:val="en-US" w:eastAsia="ar-SA"/>
        </w:rPr>
        <w:t>, Vol. 13(3), pp. 487–494.</w:t>
      </w:r>
    </w:p>
    <w:p w:rsidR="00E54F5E" w:rsidRDefault="00362EFF">
      <w:pPr>
        <w:widowControl w:val="0"/>
        <w:spacing w:after="0" w:line="24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Приказ Министра сельского хозяйства Республики Казахстан «Об утверждении Типовых правил выпаса сельскохозяйственных животных» от 29 ап</w:t>
      </w:r>
      <w:r>
        <w:rPr>
          <w:rFonts w:ascii="Times New Roman" w:hAnsi="Times New Roman" w:cs="Times New Roman"/>
          <w:sz w:val="24"/>
          <w:szCs w:val="24"/>
        </w:rPr>
        <w:t>реля 2020 года № 145.</w:t>
      </w: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E54F5E" w:rsidRDefault="00E54F5E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2490875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Способ и устройство автоматизации и информатизации экономичной пастьбы животных на пастбищах с электрическими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изгородями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>Текст] / Дубровин А.В., Шевцов В.В., Шевцов В.С.; заявитель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 патентообладатель ГНУ ВИЭСХ. -  № 2011143938/13;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31.10.11;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27.08.13,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24. – 19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2515392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Устройство для пастьбы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животных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Суюнчалиев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Р.С., Цой Ю.А., Астафьева В.Е.,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Тургенбаев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М.С.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патентообладатель ГНУ ВИЭСХ. -  № 2012125346/13;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19.06.12;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10.05.14,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13.–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6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2711806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Блок ограждения загона для содержания сельскохозяйственных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животных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>Текст] / Лебедев А.Т.,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Очинский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В.В., Лебедев П.А.,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Павлюк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Р.В.,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Захарин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А.В., Марьин Н.А.,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Искендеров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Р.Р.; заявитель и патентообладатель Ставропольский государственный аграрный университет. -  № 2019123699;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22.07.19;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22.01.20,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3. – 10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2704851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Росс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Блок ограждения загона для содержания сельскохозяйственных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животных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Лебедев А.Т.,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Очинский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В.В.,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 xml:space="preserve">Лебедев П.А.,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Павлюк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Р.В.,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Захарин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А.В., Марьин Н.А.,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Искендеров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Р.Р., Казаков В.В.. Волкова К.С.; заявитель и пате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нтообладатель Ставропольский государственный аграрный университет. -  № 2019100170;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09.01.19;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31.10.19,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31. – 6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2714735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H05C 1/04, A01K 3/00. </w:t>
      </w:r>
      <w:r>
        <w:rPr>
          <w:rFonts w:ascii="Times New Roman" w:hAnsi="Times New Roman" w:cs="Times New Roman"/>
          <w:sz w:val="24"/>
          <w:szCs w:val="24"/>
        </w:rPr>
        <w:t xml:space="preserve">Быстро развертываемая мобильная линейная часть электризуемого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заграждения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Удинцев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Д.Н., Кочнев С.С.,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Смоголев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С.А.; заявитель и патентообладатель Общевойсковая Академия Вооруженных сил Российской Федерации. -  № 2019106148;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05.03.19;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19.02.20,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5. – 5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2645343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3/00, A01K 1/00. </w:t>
      </w:r>
      <w:r>
        <w:rPr>
          <w:rFonts w:ascii="Times New Roman" w:hAnsi="Times New Roman" w:cs="Times New Roman"/>
          <w:sz w:val="24"/>
          <w:szCs w:val="24"/>
        </w:rPr>
        <w:t xml:space="preserve">Охотничий вольер и способ содержания диких животных с естественными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кормами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Карипов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Р.С., Шестаков А.Л..; заявитель и патентообладатель ФГАОУ ВО "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ЮУрГУ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ИУ)». -  № 2016141740;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24.10.16;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21.02.18,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6.–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10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187419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Пастбищная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электроизгородь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Кравченко В.Н., Филонов Р.Ф.,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Доутоков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Э.М.; заявитель и патентообладатель ФГБОУ ВО РГАУ – МСХА имени К.А. Тимирязева. -  № 2018133168;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19.09.18;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05.03.19,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7.–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5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2675511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 A01K 5/01, A01K 5/0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 xml:space="preserve">Система, способ и устройство для кормления для удаленного наблюдения за домашним животным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кормления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ХУ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Бао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Чжун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(CN), БАУЭР Вернер (CH), ХУ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Жуго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(CN); заявитель и патентообладатель НЕСТЕК СА (CH). -  № 2016108854;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07.08.14;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19.0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9.17,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35. – 26 с.</w:t>
      </w:r>
    </w:p>
    <w:p w:rsidR="00E54F5E" w:rsidRDefault="00362EFF">
      <w:pPr>
        <w:spacing w:after="0" w:line="240" w:lineRule="auto"/>
        <w:ind w:firstLine="709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2730866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3/00, A01M 29/16. </w:t>
      </w:r>
      <w:r>
        <w:rPr>
          <w:rFonts w:ascii="Times New Roman" w:hAnsi="Times New Roman" w:cs="Times New Roman"/>
          <w:sz w:val="24"/>
          <w:szCs w:val="24"/>
        </w:rPr>
        <w:t xml:space="preserve">Способ и устройство порционной пастьбы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животных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Цой Ю.А.,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Черноиванов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В.И.. Кирсанов В.В.,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Тургенбаев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М.С.,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Баишева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Р.А.; заявитель и патентообладатель (ФГБН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У ФНАЦ ВИМ. -  № 2019132084;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10.10.19;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26.08.20,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24. – 9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2614813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3/00, A01K 1/00, A01K 1/10, A01K 1/12. </w:t>
      </w:r>
      <w:r>
        <w:rPr>
          <w:rFonts w:ascii="Times New Roman" w:hAnsi="Times New Roman" w:cs="Times New Roman"/>
          <w:sz w:val="24"/>
          <w:szCs w:val="24"/>
        </w:rPr>
        <w:t xml:space="preserve">Способ механизированного пастбищного содержания крупного рогатого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скота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>Текст] / Герасимо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ва О.А.; заявитель и патентообладатель Великолукская государственная сельскохозяйственная академия-  № 2015117865;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12.05.15;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10.12.16,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34. – 5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2379883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A01K 3/00, A01M 29/02. </w:t>
      </w:r>
      <w:r>
        <w:rPr>
          <w:rFonts w:ascii="Times New Roman" w:hAnsi="Times New Roman" w:cs="Times New Roman"/>
          <w:sz w:val="24"/>
          <w:szCs w:val="24"/>
        </w:rPr>
        <w:t xml:space="preserve">Способ ограничения выхода </w:t>
      </w:r>
      <w:r>
        <w:rPr>
          <w:rFonts w:ascii="Times New Roman" w:hAnsi="Times New Roman" w:cs="Times New Roman"/>
          <w:sz w:val="24"/>
          <w:szCs w:val="24"/>
        </w:rPr>
        <w:t xml:space="preserve">крупного рогатого скота и лошадей за пределы отведенного им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участка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Винников И.К.,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Бенова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Е.В., Дмитриенко С.А.; заявитель и патентообладатель ГНУ ВНИПТИМЭСХ. -  № 2008140340/12;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10.10.08;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27.01.10,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3. – 5 с.</w:t>
      </w:r>
    </w:p>
    <w:p w:rsidR="00E54F5E" w:rsidRDefault="00362EFF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 2440720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Р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оссийская Федерация, МПК A01K 3/00. </w:t>
      </w:r>
      <w:r>
        <w:rPr>
          <w:rFonts w:ascii="Times New Roman" w:hAnsi="Times New Roman" w:cs="Times New Roman"/>
          <w:sz w:val="24"/>
          <w:szCs w:val="24"/>
        </w:rPr>
        <w:t xml:space="preserve">Стойка для искусственной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изгороди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Текст] / Рязанцев А.И., Кириленко Н.Я.,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Самошин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А.Ю.; заявитель и патентообладатель Рязанцев А.И., Кириленко Н.Я.,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Самошин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А.Ю.. -  № 2010131790/13;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01.10.10;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27.01.12,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Б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юл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№ 3. – 5 с.</w:t>
      </w:r>
    </w:p>
    <w:p w:rsidR="00E54F5E" w:rsidRDefault="00E54F5E">
      <w:pPr>
        <w:spacing w:after="0" w:line="240" w:lineRule="auto"/>
        <w:ind w:firstLine="709"/>
      </w:pPr>
    </w:p>
    <w:sectPr w:rsidR="00E54F5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B9646B"/>
    <w:multiLevelType w:val="multilevel"/>
    <w:tmpl w:val="6418536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7E3179D"/>
    <w:multiLevelType w:val="multilevel"/>
    <w:tmpl w:val="385201E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E54F5E"/>
    <w:rsid w:val="00362EFF"/>
    <w:rsid w:val="003A3CA8"/>
    <w:rsid w:val="00590705"/>
    <w:rsid w:val="00A82EE2"/>
    <w:rsid w:val="00B46BA1"/>
    <w:rsid w:val="00D9458D"/>
    <w:rsid w:val="00E54F5E"/>
    <w:rsid w:val="00F60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C0C59"/>
  <w15:docId w15:val="{58A62B11-C5A1-43CB-A37F-E7FF59474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1973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Абзац списка Знак"/>
    <w:uiPriority w:val="34"/>
    <w:qFormat/>
    <w:locked/>
    <w:rsid w:val="003D53D1"/>
    <w:rPr>
      <w:rFonts w:eastAsiaTheme="minorHAnsi"/>
      <w:lang w:eastAsia="en-US"/>
    </w:rPr>
  </w:style>
  <w:style w:type="character" w:customStyle="1" w:styleId="a4">
    <w:name w:val="Текст выноски Знак"/>
    <w:basedOn w:val="a0"/>
    <w:uiPriority w:val="99"/>
    <w:semiHidden/>
    <w:qFormat/>
    <w:rsid w:val="003D53D1"/>
    <w:rPr>
      <w:rFonts w:ascii="Tahoma" w:hAnsi="Tahoma" w:cs="Tahoma"/>
      <w:sz w:val="16"/>
      <w:szCs w:val="16"/>
    </w:rPr>
  </w:style>
  <w:style w:type="character" w:customStyle="1" w:styleId="a5">
    <w:name w:val="Без интервала Знак"/>
    <w:uiPriority w:val="1"/>
    <w:qFormat/>
    <w:rsid w:val="00D16DB0"/>
    <w:rPr>
      <w:rFonts w:ascii="Calibri" w:eastAsia="Calibri" w:hAnsi="Calibri" w:cs="Times New Roman"/>
      <w:lang w:eastAsia="en-US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Arial" w:eastAsia="Microsoft YaHei" w:hAnsi="Arial" w:cs="Arial"/>
      <w:sz w:val="28"/>
      <w:szCs w:val="28"/>
    </w:rPr>
  </w:style>
  <w:style w:type="paragraph" w:styleId="a6">
    <w:name w:val="Body Text"/>
    <w:basedOn w:val="a"/>
    <w:pPr>
      <w:spacing w:after="140"/>
    </w:pPr>
  </w:style>
  <w:style w:type="paragraph" w:styleId="a7">
    <w:name w:val="List"/>
    <w:basedOn w:val="a6"/>
    <w:rPr>
      <w:rFonts w:cs="Arial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Arial"/>
    </w:rPr>
  </w:style>
  <w:style w:type="paragraph" w:styleId="a9">
    <w:name w:val="List Paragraph"/>
    <w:basedOn w:val="a"/>
    <w:uiPriority w:val="34"/>
    <w:qFormat/>
    <w:rsid w:val="003D53D1"/>
    <w:pPr>
      <w:ind w:left="720"/>
      <w:contextualSpacing/>
    </w:pPr>
    <w:rPr>
      <w:rFonts w:eastAsiaTheme="minorHAnsi"/>
      <w:lang w:eastAsia="en-US"/>
    </w:rPr>
  </w:style>
  <w:style w:type="paragraph" w:styleId="aa">
    <w:name w:val="Balloon Text"/>
    <w:basedOn w:val="a"/>
    <w:uiPriority w:val="99"/>
    <w:semiHidden/>
    <w:unhideWhenUsed/>
    <w:qFormat/>
    <w:rsid w:val="003D53D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b">
    <w:name w:val="No Spacing"/>
    <w:uiPriority w:val="1"/>
    <w:qFormat/>
    <w:rsid w:val="00D16DB0"/>
    <w:rPr>
      <w:rFonts w:eastAsia="Calibri" w:cs="Times New Roman"/>
      <w:lang w:eastAsia="en-US"/>
    </w:rPr>
  </w:style>
  <w:style w:type="paragraph" w:customStyle="1" w:styleId="TableContents">
    <w:name w:val="Table Contents"/>
    <w:basedOn w:val="a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ac">
    <w:name w:val="Table Grid"/>
    <w:basedOn w:val="a1"/>
    <w:uiPriority w:val="59"/>
    <w:rsid w:val="00F51D6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8</Pages>
  <Words>2450</Words>
  <Characters>13966</Characters>
  <Application>Microsoft Office Word</Application>
  <DocSecurity>0</DocSecurity>
  <Lines>116</Lines>
  <Paragraphs>32</Paragraphs>
  <ScaleCrop>false</ScaleCrop>
  <Company>SPecialiST RePack</Company>
  <LinksUpToDate>false</LinksUpToDate>
  <CharactersWithSpaces>16384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Yerlan Amir</cp:lastModifiedBy>
  <cp:revision>44</cp:revision>
  <dcterms:created xsi:type="dcterms:W3CDTF">2021-10-15T02:06:00Z</dcterms:created>
  <dcterms:modified xsi:type="dcterms:W3CDTF">2025-03-09T14:24:00Z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